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9C" w:rsidRPr="008A169C" w:rsidRDefault="008A169C" w:rsidP="008A169C">
      <w:pPr>
        <w:spacing w:after="100" w:afterAutospacing="1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323232"/>
          <w:kern w:val="36"/>
          <w:sz w:val="24"/>
          <w:szCs w:val="48"/>
          <w:lang w:eastAsia="cs-CZ"/>
        </w:rPr>
      </w:pPr>
      <w:bookmarkStart w:id="0" w:name="_GoBack"/>
      <w:bookmarkEnd w:id="0"/>
      <w:r w:rsidRPr="008A169C">
        <w:rPr>
          <w:rFonts w:ascii="Palatino Linotype" w:eastAsia="Times New Roman" w:hAnsi="Palatino Linotype" w:cs="Arial"/>
          <w:b/>
          <w:bCs/>
          <w:color w:val="323232"/>
          <w:kern w:val="36"/>
          <w:sz w:val="36"/>
          <w:szCs w:val="48"/>
          <w:lang w:eastAsia="cs-CZ"/>
        </w:rPr>
        <w:t>Informování občanů o odpadovém hospodářství</w:t>
      </w:r>
    </w:p>
    <w:p w:rsidR="008A169C" w:rsidRPr="008A169C" w:rsidRDefault="0002185D" w:rsidP="008A169C">
      <w:pPr>
        <w:spacing w:after="240" w:line="240" w:lineRule="auto"/>
        <w:outlineLvl w:val="2"/>
        <w:rPr>
          <w:rFonts w:ascii="Palatino Linotype" w:eastAsia="Times New Roman" w:hAnsi="Palatino Linotype" w:cs="Arial"/>
          <w:b/>
          <w:bCs/>
          <w:color w:val="0F873C"/>
          <w:sz w:val="16"/>
          <w:szCs w:val="27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42"/>
          <w:lang w:eastAsia="cs-CZ"/>
        </w:rPr>
        <w:t xml:space="preserve">Nakládání s odpady 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 novým zákonem o odpadech vstoupila v účinnost také nová povinnost pro obce týkající se informování občanů o odpadovém hospodářství. V § 60 odst. 4 je uvedeno, že: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i/>
          <w:iCs/>
          <w:color w:val="323232"/>
          <w:sz w:val="24"/>
          <w:szCs w:val="27"/>
          <w:lang w:eastAsia="cs-CZ"/>
        </w:rPr>
        <w:t>„Obec je povinna informovat nejméně jednou ročně způsobem umožňujícím dálkový přístup o způsobech a rozsahu odděleného soustřeďování komunálního odpadu, využití a odstranění komunálního odpadu a o možnostech prevence a minimalizace vzniku komunálního odpadu. Nejméně jednou ročně obec zveřejní způsobem umožňujícím dálkový přístup kvantifikované výsledky odpadového hospodářství obce včetně nákladů na provoz obecního systému.“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S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měsný komunální odpad:</w:t>
      </w:r>
    </w:p>
    <w:p w:rsidR="008A169C" w:rsidRP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černou barvou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individuální nádoby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P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apír:</w:t>
      </w:r>
    </w:p>
    <w:p w:rsid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S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běrné nádoby označené modrou barvou</w:t>
      </w:r>
    </w:p>
    <w:p w:rsidR="008932D7" w:rsidRDefault="008932D7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- individuální nádoby</w:t>
      </w:r>
    </w:p>
    <w:p w:rsidR="00F379C5" w:rsidRPr="008A169C" w:rsidRDefault="00F379C5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- veřejná nádoba ( v obci 1 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P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last:</w:t>
      </w:r>
    </w:p>
    <w:p w:rsidR="008A169C" w:rsidRDefault="008A169C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 označené žlutou barvou</w:t>
      </w:r>
    </w:p>
    <w:p w:rsidR="008932D7" w:rsidRDefault="008932D7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- individuální nádoby</w:t>
      </w:r>
    </w:p>
    <w:p w:rsidR="00F379C5" w:rsidRPr="008932D7" w:rsidRDefault="00F379C5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4"/>
          <w:lang w:eastAsia="cs-CZ"/>
        </w:rPr>
        <w:t>- veřejná nádoba (v obci 1 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Sklo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:</w:t>
      </w:r>
    </w:p>
    <w:p w:rsidR="008A169C" w:rsidRPr="008A169C" w:rsidRDefault="00EB1097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sběrné nádoby</w:t>
      </w:r>
      <w:r w:rsidR="008A169C" w:rsidRPr="00E1435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</w:t>
      </w:r>
      <w:r w:rsidR="0006102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označené zelenou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barvou</w:t>
      </w:r>
    </w:p>
    <w:p w:rsidR="008A169C" w:rsidRPr="008A169C" w:rsidRDefault="0006102F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veřejné kontejnery (v obci 2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Bio</w:t>
      </w:r>
      <w:r w:rsidR="00304BDB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o</w:t>
      </w: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dpad:</w:t>
      </w:r>
    </w:p>
    <w:p w:rsidR="008A169C" w:rsidRPr="008A169C" w:rsidRDefault="00304BDB" w:rsidP="00E1435C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běrné nádoby označené </w:t>
      </w:r>
      <w:r w:rsidR="0006102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hnědou</w:t>
      </w:r>
      <w:r w:rsidR="008A169C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barvou</w:t>
      </w:r>
    </w:p>
    <w:p w:rsidR="0006102F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veřejný kontejner (v obci </w:t>
      </w:r>
      <w:r w:rsidR="0006102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1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:rsidR="00EB1097" w:rsidRDefault="00EB1097" w:rsidP="00EB1097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Sběrný kovový velkoobjemový kontejner</w:t>
      </w:r>
    </w:p>
    <w:p w:rsidR="00EB1097" w:rsidRDefault="00EB1097" w:rsidP="00EB1097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- veřejný kontejner (v obci </w:t>
      </w: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1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ks)</w:t>
      </w:r>
    </w:p>
    <w:p w:rsidR="008A169C" w:rsidRPr="008A169C" w:rsidRDefault="008A169C" w:rsidP="00F379C5">
      <w:pPr>
        <w:spacing w:after="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Textil:</w:t>
      </w:r>
    </w:p>
    <w:p w:rsidR="008A169C" w:rsidRDefault="008A169C" w:rsidP="00F379C5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veřejný kontejner (v obci 1ks)</w:t>
      </w:r>
    </w:p>
    <w:p w:rsidR="00F379C5" w:rsidRDefault="00F379C5" w:rsidP="00F379C5">
      <w:pPr>
        <w:spacing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- veřejná nádoba (v obci 1 ks)</w:t>
      </w:r>
    </w:p>
    <w:p w:rsidR="009528F2" w:rsidRPr="008A169C" w:rsidRDefault="009528F2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</w:p>
    <w:p w:rsidR="0002185D" w:rsidRDefault="0002185D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</w:p>
    <w:p w:rsidR="002D4F33" w:rsidRDefault="002D4F33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lastRenderedPageBreak/>
        <w:t>Velkoobjemový odpad:</w:t>
      </w:r>
    </w:p>
    <w:p w:rsidR="002D4F33" w:rsidRPr="002D4F33" w:rsidRDefault="002D4F33" w:rsidP="002D4F33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2x roč</w:t>
      </w:r>
      <w:r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ně je prováděn svoz velkoobjemového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odpadů. Termín svozu sdělí OÚ.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Nebezpečný odpad: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2x ročně je prováděn svoz nebezpečných odpadů. Termín svozu sdělí OÚ.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Jedlé oleje a tuky: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  <w:t xml:space="preserve">- 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veřejná nádoba</w:t>
      </w:r>
      <w:r w:rsidR="00304BDB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 (</w:t>
      </w:r>
      <w:r w:rsidR="00304BDB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v obci 1 ks</w:t>
      </w:r>
      <w:r w:rsidR="00304BDB"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)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Nakládání s odpady:</w:t>
      </w:r>
    </w:p>
    <w:p w:rsidR="008A169C" w:rsidRPr="008A169C" w:rsidRDefault="008A169C" w:rsidP="004C24EF">
      <w:pPr>
        <w:spacing w:after="180" w:line="240" w:lineRule="auto"/>
        <w:jc w:val="both"/>
        <w:rPr>
          <w:rFonts w:ascii="Palatino Linotype" w:eastAsia="Times New Roman" w:hAnsi="Palatino Linotype" w:cs="Arial"/>
          <w:color w:val="323232"/>
          <w:sz w:val="27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Jednotlivé složky odpadů jsou dále dotříděny a předány k dalšímu </w:t>
      </w:r>
      <w:r w:rsidR="004C24E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zpracování pomocí společnosti E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KO-</w:t>
      </w:r>
      <w:r w:rsidR="004C24EF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KOM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. Komunální směsný odpad </w:t>
      </w:r>
      <w:r w:rsidR="002D4F33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 xml:space="preserve">a velkoobjemový odpad 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je ukládán na skládku.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Předcházení vzniku odpadů:</w:t>
      </w:r>
    </w:p>
    <w:p w:rsidR="008A169C" w:rsidRPr="008A169C" w:rsidRDefault="008A169C" w:rsidP="008910B5">
      <w:pPr>
        <w:spacing w:after="180" w:line="240" w:lineRule="auto"/>
        <w:jc w:val="both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Předcházení vzniku odpadů je prevencí v odpadovém hospodářství.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Cílem je snižování množství odpadů. Předcházením vzniku odpadů můžeme konkrétně ušetřit spoustu surovin, energie a snížit spotřebu.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Nejlepší odpad je ten, který nevznikne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Nepoužívej plastové sáčky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Nekupuj balenou vodu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Nakupuj co nejvíce bezobalově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Kompostuj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Neplýtvej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Používej věci co nejdéle</w:t>
      </w:r>
    </w:p>
    <w:p w:rsidR="008A169C" w:rsidRP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Hledej ekologicky šetrnější varianty</w:t>
      </w:r>
    </w:p>
    <w:p w:rsidR="008A169C" w:rsidRDefault="008A169C" w:rsidP="00E1435C">
      <w:pPr>
        <w:numPr>
          <w:ilvl w:val="0"/>
          <w:numId w:val="1"/>
        </w:num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A hlavně při spotřebě, konzumaci a při tvorbě odpadů přemýšlej</w:t>
      </w:r>
    </w:p>
    <w:p w:rsidR="00E1435C" w:rsidRPr="008A169C" w:rsidRDefault="00E1435C" w:rsidP="00E1435C">
      <w:pPr>
        <w:spacing w:before="100" w:beforeAutospacing="1" w:after="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</w:p>
    <w:p w:rsidR="008A169C" w:rsidRPr="008A169C" w:rsidRDefault="008A169C" w:rsidP="008A169C">
      <w:pPr>
        <w:spacing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Náklady na odpadové hospodářství obce: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Celkové roční náklady obce: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="00E27F23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504 494</w:t>
      </w:r>
      <w:r w:rsidR="00FE41B2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,-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Kč</w:t>
      </w:r>
    </w:p>
    <w:p w:rsidR="008A169C" w:rsidRPr="008A169C" w:rsidRDefault="008A169C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Náklady obce v přepočtu na osobu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stojí cca</w:t>
      </w:r>
      <w:r w:rsidRPr="008A169C"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  <w:t> </w:t>
      </w:r>
      <w:r w:rsidR="00E27F23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 xml:space="preserve"> 1572,-</w:t>
      </w:r>
      <w:r w:rsid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 xml:space="preserve"> </w:t>
      </w:r>
      <w:r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Kč/osoba.</w:t>
      </w:r>
    </w:p>
    <w:p w:rsidR="008A169C" w:rsidRPr="008A169C" w:rsidRDefault="008932D7" w:rsidP="008A169C">
      <w:pPr>
        <w:spacing w:after="180" w:line="240" w:lineRule="auto"/>
        <w:rPr>
          <w:rFonts w:ascii="Palatino Linotype" w:eastAsia="Times New Roman" w:hAnsi="Palatino Linotype" w:cs="Arial"/>
          <w:color w:val="323232"/>
          <w:sz w:val="24"/>
          <w:szCs w:val="27"/>
          <w:lang w:eastAsia="cs-CZ"/>
        </w:rPr>
      </w:pPr>
      <w:r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Poplatek na občana: 600</w:t>
      </w:r>
      <w:r w:rsidR="008A169C" w:rsidRPr="008910B5">
        <w:rPr>
          <w:rFonts w:ascii="Palatino Linotype" w:eastAsia="Times New Roman" w:hAnsi="Palatino Linotype" w:cs="Arial"/>
          <w:b/>
          <w:bCs/>
          <w:color w:val="323232"/>
          <w:sz w:val="24"/>
          <w:szCs w:val="27"/>
          <w:lang w:eastAsia="cs-CZ"/>
        </w:rPr>
        <w:t> Kč/osoba.</w:t>
      </w:r>
    </w:p>
    <w:p w:rsidR="008A169C" w:rsidRPr="008A169C" w:rsidRDefault="008A169C" w:rsidP="008A169C">
      <w:pPr>
        <w:spacing w:before="360" w:after="240" w:line="240" w:lineRule="auto"/>
        <w:outlineLvl w:val="3"/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</w:pPr>
      <w:r w:rsidRPr="008A169C">
        <w:rPr>
          <w:rFonts w:ascii="Palatino Linotype" w:eastAsia="Times New Roman" w:hAnsi="Palatino Linotype" w:cs="Arial"/>
          <w:b/>
          <w:bCs/>
          <w:color w:val="0F873C"/>
          <w:sz w:val="24"/>
          <w:szCs w:val="24"/>
          <w:lang w:eastAsia="cs-CZ"/>
        </w:rPr>
        <w:t>Množství vytříděného odpadu:</w:t>
      </w:r>
    </w:p>
    <w:p w:rsidR="008A169C" w:rsidRPr="00171FDB" w:rsidRDefault="009B6FEA" w:rsidP="009528F2">
      <w:pPr>
        <w:spacing w:after="0" w:line="240" w:lineRule="auto"/>
        <w:rPr>
          <w:rFonts w:ascii="Palatino Linotype" w:eastAsia="Times New Roman" w:hAnsi="Palatino Linotype" w:cs="Arial"/>
          <w:sz w:val="27"/>
          <w:szCs w:val="27"/>
          <w:lang w:eastAsia="cs-CZ"/>
        </w:rPr>
      </w:pPr>
      <w:r w:rsidRPr="00171FD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>1</w:t>
      </w:r>
      <w:r w:rsidR="009528F2" w:rsidRPr="00171FD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>.</w:t>
      </w:r>
      <w:r w:rsidR="008932D7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 xml:space="preserve"> čtvrtletí 2024</w:t>
      </w:r>
      <w:r w:rsidRPr="00171FD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 xml:space="preserve">  - </w:t>
      </w:r>
      <w:r w:rsidR="008932D7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>4,11</w:t>
      </w:r>
    </w:p>
    <w:p w:rsidR="008A169C" w:rsidRPr="00171FDB" w:rsidRDefault="009528F2" w:rsidP="009528F2">
      <w:pPr>
        <w:spacing w:after="0" w:line="240" w:lineRule="auto"/>
        <w:rPr>
          <w:rFonts w:ascii="Palatino Linotype" w:eastAsia="Times New Roman" w:hAnsi="Palatino Linotype" w:cs="Arial"/>
          <w:sz w:val="27"/>
          <w:szCs w:val="27"/>
          <w:lang w:eastAsia="cs-CZ"/>
        </w:rPr>
      </w:pPr>
      <w:r w:rsidRPr="00171FD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>2.</w:t>
      </w:r>
      <w:r w:rsidR="008932D7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 xml:space="preserve"> čtvrtletí 2024  - 3,61</w:t>
      </w:r>
    </w:p>
    <w:p w:rsidR="009528F2" w:rsidRPr="00171FDB" w:rsidRDefault="009528F2" w:rsidP="009528F2">
      <w:pPr>
        <w:spacing w:after="0" w:line="240" w:lineRule="auto"/>
        <w:rPr>
          <w:rFonts w:ascii="Palatino Linotype" w:eastAsia="Times New Roman" w:hAnsi="Palatino Linotype" w:cs="Arial"/>
          <w:sz w:val="27"/>
          <w:szCs w:val="27"/>
          <w:lang w:eastAsia="cs-CZ"/>
        </w:rPr>
      </w:pPr>
      <w:r w:rsidRPr="00171FD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>3.</w:t>
      </w:r>
      <w:r w:rsidR="008932D7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 xml:space="preserve"> čtvrtletí 2024  - 5,01</w:t>
      </w:r>
    </w:p>
    <w:p w:rsidR="002D7895" w:rsidRPr="00D41747" w:rsidRDefault="009528F2" w:rsidP="00D41747">
      <w:pPr>
        <w:spacing w:after="0" w:line="240" w:lineRule="auto"/>
        <w:rPr>
          <w:rFonts w:ascii="Palatino Linotype" w:eastAsia="Times New Roman" w:hAnsi="Palatino Linotype" w:cs="Arial"/>
          <w:sz w:val="27"/>
          <w:szCs w:val="27"/>
          <w:lang w:eastAsia="cs-CZ"/>
        </w:rPr>
      </w:pPr>
      <w:r w:rsidRPr="00171FD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>4.</w:t>
      </w:r>
      <w:r w:rsidR="008932D7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 xml:space="preserve"> čtvrtletí 2024</w:t>
      </w:r>
      <w:r w:rsidR="0002185D" w:rsidRPr="00171FD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 xml:space="preserve">  - </w:t>
      </w:r>
      <w:r w:rsidR="00543C2B" w:rsidRPr="00543C2B">
        <w:rPr>
          <w:rStyle w:val="Hypertextovodkaz"/>
          <w:rFonts w:ascii="Palatino Linotype" w:eastAsia="Times New Roman" w:hAnsi="Palatino Linotype" w:cs="Arial"/>
          <w:color w:val="auto"/>
          <w:sz w:val="27"/>
          <w:szCs w:val="27"/>
          <w:u w:val="none"/>
          <w:lang w:eastAsia="cs-CZ"/>
        </w:rPr>
        <w:t>3,741</w:t>
      </w:r>
    </w:p>
    <w:sectPr w:rsidR="002D7895" w:rsidRPr="00D41747" w:rsidSect="00F379C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51548"/>
    <w:multiLevelType w:val="hybridMultilevel"/>
    <w:tmpl w:val="A97C8F30"/>
    <w:lvl w:ilvl="0" w:tplc="CA70BB9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42AB"/>
    <w:multiLevelType w:val="multilevel"/>
    <w:tmpl w:val="A20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B48B5"/>
    <w:multiLevelType w:val="hybridMultilevel"/>
    <w:tmpl w:val="06704138"/>
    <w:lvl w:ilvl="0" w:tplc="C35E998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B56A8"/>
    <w:multiLevelType w:val="hybridMultilevel"/>
    <w:tmpl w:val="DC8468A8"/>
    <w:lvl w:ilvl="0" w:tplc="2F843B4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2179B"/>
    <w:multiLevelType w:val="hybridMultilevel"/>
    <w:tmpl w:val="45D45454"/>
    <w:lvl w:ilvl="0" w:tplc="9612B11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F2A1B"/>
    <w:multiLevelType w:val="hybridMultilevel"/>
    <w:tmpl w:val="931C3BDC"/>
    <w:lvl w:ilvl="0" w:tplc="A8983A5E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9C"/>
    <w:rsid w:val="0002185D"/>
    <w:rsid w:val="0006102F"/>
    <w:rsid w:val="00110CBD"/>
    <w:rsid w:val="0013161E"/>
    <w:rsid w:val="00171FDB"/>
    <w:rsid w:val="002126EF"/>
    <w:rsid w:val="002552B4"/>
    <w:rsid w:val="002D4F33"/>
    <w:rsid w:val="00304BDB"/>
    <w:rsid w:val="004C24EF"/>
    <w:rsid w:val="0051432F"/>
    <w:rsid w:val="00543C2B"/>
    <w:rsid w:val="0079162B"/>
    <w:rsid w:val="008910B5"/>
    <w:rsid w:val="008932D7"/>
    <w:rsid w:val="008A169C"/>
    <w:rsid w:val="008B3E1E"/>
    <w:rsid w:val="0093210D"/>
    <w:rsid w:val="009528F2"/>
    <w:rsid w:val="009B6FEA"/>
    <w:rsid w:val="00B0799E"/>
    <w:rsid w:val="00C72B5D"/>
    <w:rsid w:val="00D41747"/>
    <w:rsid w:val="00E1435C"/>
    <w:rsid w:val="00E27F23"/>
    <w:rsid w:val="00EB1097"/>
    <w:rsid w:val="00EB58FD"/>
    <w:rsid w:val="00F379C5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11562-9DC6-443F-B2CC-8B301566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1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A1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A16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16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16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A169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A169C"/>
    <w:rPr>
      <w:i/>
      <w:iCs/>
    </w:rPr>
  </w:style>
  <w:style w:type="character" w:styleId="Siln">
    <w:name w:val="Strong"/>
    <w:basedOn w:val="Standardnpsmoodstavce"/>
    <w:uiPriority w:val="22"/>
    <w:qFormat/>
    <w:rsid w:val="008A16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16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799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7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9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9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99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864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0A48-8719-40E9-BC02-D694FE6D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Alena Molinari</cp:lastModifiedBy>
  <cp:revision>2</cp:revision>
  <cp:lastPrinted>2025-02-19T09:57:00Z</cp:lastPrinted>
  <dcterms:created xsi:type="dcterms:W3CDTF">2025-02-20T07:31:00Z</dcterms:created>
  <dcterms:modified xsi:type="dcterms:W3CDTF">2025-02-20T07:31:00Z</dcterms:modified>
</cp:coreProperties>
</file>